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80"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numPr>
                <w:ilvl w:val="0"/>
                <w:numId w:val="0"/>
              </w:numPr>
              <w:tabs>
                <w:tab w:val="left" w:pos="1134" w:leader="none"/>
                <w:tab w:val="left" w:pos="1247" w:leader="none"/>
              </w:tabs>
              <w:spacing w:lineRule="exact" w:line="28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80" w:before="0" w:after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</w:r>
          </w:p>
          <w:p>
            <w:pPr>
              <w:pStyle w:val="Normal"/>
              <w:spacing w:lineRule="exact" w:line="280" w:before="0" w:after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УТВЕРЖДЕНО</w:t>
            </w:r>
          </w:p>
          <w:p>
            <w:pPr>
              <w:pStyle w:val="Normal"/>
              <w:spacing w:lineRule="exact" w:line="280" w:before="0" w:after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протокол </w:t>
            </w:r>
            <w:bookmarkStart w:id="0" w:name="__DdeLink__2575_1777126165"/>
            <w:r>
              <w:rPr>
                <w:sz w:val="28"/>
                <w:szCs w:val="28"/>
                <w:lang w:val="be-BY"/>
              </w:rPr>
              <w:t>заседания Правления</w:t>
            </w:r>
            <w:bookmarkEnd w:id="0"/>
            <w:r>
              <w:rPr>
                <w:sz w:val="28"/>
                <w:szCs w:val="28"/>
                <w:lang w:val="be-BY"/>
              </w:rPr>
              <w:br/>
              <w:t xml:space="preserve">ОАО 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Небанковская кредитно-финансовая организация 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</w:rPr>
              <w:t xml:space="preserve">РИП“ 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>
            <w:pPr>
              <w:pStyle w:val="Style22"/>
              <w:numPr>
                <w:ilvl w:val="0"/>
                <w:numId w:val="0"/>
              </w:numPr>
              <w:tabs>
                <w:tab w:val="left" w:pos="1134" w:leader="none"/>
                <w:tab w:val="left" w:pos="1247" w:leader="none"/>
              </w:tabs>
              <w:spacing w:lineRule="exact" w:line="280" w:before="0" w:after="120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>28“ марта 2016 г.№ 1</w:t>
            </w:r>
          </w:p>
          <w:p>
            <w:pPr>
              <w:pStyle w:val="Normal"/>
              <w:spacing w:before="0" w:after="0"/>
              <w:rPr>
                <w:highlight w:val="yellow"/>
              </w:rPr>
            </w:pPr>
            <w:r>
              <w:rPr>
                <w:rFonts w:eastAsia="Calibri" w:eastAsiaTheme="minorHAnsi"/>
                <w:sz w:val="28"/>
                <w:szCs w:val="28"/>
              </w:rPr>
              <w:t>с учетом изменений и дополнений</w:t>
            </w:r>
          </w:p>
          <w:p>
            <w:pPr>
              <w:pStyle w:val="Normal"/>
              <w:spacing w:before="0" w:after="0"/>
              <w:rPr>
                <w:rFonts w:eastAsia="Calibri" w:eastAsiaTheme="minorHAnsi"/>
                <w:sz w:val="28"/>
                <w:szCs w:val="28"/>
                <w:lang w:val="be-BY"/>
              </w:rPr>
            </w:pPr>
            <w:r>
              <w:rPr>
                <w:rFonts w:eastAsia="Calibri" w:eastAsiaTheme="minorHAnsi"/>
                <w:sz w:val="28"/>
                <w:szCs w:val="28"/>
              </w:rPr>
              <w:t xml:space="preserve">от </w:t>
            </w:r>
            <w:r>
              <w:rPr>
                <w:rFonts w:eastAsia="Calibri" w:eastAsiaTheme="minorHAnsi"/>
                <w:sz w:val="28"/>
                <w:szCs w:val="28"/>
                <w:lang w:val="be-BY"/>
              </w:rPr>
              <w:t>”</w:t>
            </w:r>
            <w:r>
              <w:rPr>
                <w:rFonts w:eastAsia="Calibri" w:eastAsiaTheme="minorHAnsi"/>
                <w:sz w:val="28"/>
                <w:szCs w:val="28"/>
                <w:lang w:val="ru-RU"/>
              </w:rPr>
              <w:t>18</w:t>
            </w:r>
            <w:r>
              <w:rPr>
                <w:rFonts w:eastAsia="Calibri" w:eastAsiaTheme="minorHAnsi"/>
                <w:sz w:val="28"/>
                <w:szCs w:val="28"/>
                <w:lang w:val="be-BY"/>
              </w:rPr>
              <w:t xml:space="preserve">“ </w:t>
            </w:r>
            <w:r>
              <w:rPr>
                <w:rFonts w:eastAsia="Calibri" w:eastAsiaTheme="minorHAnsi"/>
                <w:sz w:val="28"/>
                <w:szCs w:val="28"/>
                <w:lang w:val="ru-RU"/>
              </w:rPr>
              <w:t xml:space="preserve">мая </w:t>
            </w:r>
            <w:r>
              <w:rPr>
                <w:rFonts w:eastAsia="Calibri" w:eastAsiaTheme="minorHAnsi"/>
                <w:sz w:val="28"/>
                <w:szCs w:val="28"/>
              </w:rPr>
              <w:t>2016</w:t>
            </w:r>
            <w:r>
              <w:rPr>
                <w:rFonts w:eastAsia="Calibri" w:eastAsiaTheme="minorHAnsi"/>
                <w:sz w:val="28"/>
                <w:szCs w:val="28"/>
                <w:lang w:val="be-BY"/>
              </w:rPr>
              <w:t xml:space="preserve"> г.№ </w:t>
            </w:r>
            <w:r>
              <w:rPr>
                <w:rFonts w:eastAsia="Calibri" w:eastAsiaTheme="minorHAnsi"/>
                <w:sz w:val="28"/>
                <w:szCs w:val="28"/>
                <w:lang w:val="ru-RU"/>
              </w:rPr>
              <w:t>6</w:t>
            </w:r>
          </w:p>
          <w:p>
            <w:pPr>
              <w:pStyle w:val="Style22"/>
              <w:numPr>
                <w:ilvl w:val="0"/>
                <w:numId w:val="0"/>
              </w:numPr>
              <w:tabs>
                <w:tab w:val="left" w:pos="1134" w:leader="none"/>
                <w:tab w:val="left" w:pos="1247" w:leader="none"/>
              </w:tabs>
              <w:spacing w:lineRule="exact" w:line="280" w:before="0" w:after="120"/>
              <w:jc w:val="left"/>
              <w:rPr>
                <w:rFonts w:eastAsia="Calibri" w:eastAsiaTheme="minorHAnsi"/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</w:rPr>
            </w:r>
          </w:p>
        </w:tc>
      </w:tr>
    </w:tbl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80"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80"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Форма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80"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ДОГОВОР ПРИСОЕДИНЕНИЯ №____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80"/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услуг юридическому лицу, действующему в АИС ”Расчет“ в качестве Расчетного агента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80"/>
        <w:jc w:val="center"/>
        <w:rPr/>
      </w:pPr>
      <w:r>
        <w:rPr/>
        <w:t>г. Минск                                               ”_____“_____________201_ г.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80"/>
        <w:jc w:val="center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Открытое акционерное общество ”Небанковская кредитно-финансовая организация ”Единое расчетное и информационное пространство“, именуемый в дальнейшем Владелец, в лице Председателя Правления ________________________________________, действующего на основании Устава, с одной стороны, и _____________________________________________________________, именуемый (ое) в дальнейшем Расчетный агент (далее – РА), в лице _____________________________________________________________, действующего на основании ___________________________________, заключили настоящий Договор </w:t>
      </w:r>
      <w:r>
        <w:rPr>
          <w:rFonts w:eastAsia="Calibri" w:eastAsiaTheme="minorHAnsi"/>
        </w:rPr>
        <w:t xml:space="preserve">присоединения на оказание услуг </w:t>
      </w:r>
      <w:r>
        <w:rPr>
          <w:rFonts w:eastAsia="Calibri" w:eastAsiaTheme="minorHAnsi"/>
          <w:sz w:val="28"/>
          <w:szCs w:val="28"/>
        </w:rPr>
        <w:t>юридическому лицу, действующему в АИС ”Расчет“ в качестве Расчетного агента (далее – Договор)</w:t>
      </w:r>
      <w:r>
        <w:rPr>
          <w:rFonts w:eastAsia="Calibri" w:eastAsiaTheme="minorHAnsi"/>
        </w:rPr>
        <w:t xml:space="preserve"> о следующем.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>
      <w:pPr>
        <w:pStyle w:val="Normal"/>
        <w:ind w:firstLine="709"/>
        <w:rPr/>
      </w:pPr>
      <w:r>
        <w:rPr>
          <w:sz w:val="28"/>
          <w:szCs w:val="28"/>
        </w:rPr>
        <w:t xml:space="preserve">Владелец в порядке и на условиях, предусмотренных Общими условиями работы юридического лица в АИС ”Расчет“ в качестве  Расчетного агента  (далее – Общие условия), Регламентом информационного </w:t>
      </w:r>
      <w:r>
        <w:rPr>
          <w:rFonts w:eastAsia="Calibri" w:eastAsiaTheme="minorHAnsi"/>
          <w:sz w:val="28"/>
          <w:szCs w:val="28"/>
        </w:rPr>
        <w:t>взаимодействия Владельца и Расчетного агента (далее – Регламент), ”Сборником вознаграждений за операции, совершаемые ОАО ”Небанковская кредитно-финансовая организация ”ЕРИП“ (далее – Сборник), а</w:t>
      </w:r>
      <w:r>
        <w:rPr>
          <w:sz w:val="28"/>
          <w:szCs w:val="28"/>
        </w:rPr>
        <w:t xml:space="preserve"> также в соответствии с Инструкцией о порядке функционирования единого расчетного и информационного пространства Республики Беларусь, утвержденной постановлением Правления Национального банка Республики Беларусь от 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июня 2014 г. № 393, предоставляет РА услугу по подключению к АИС ”Расчет“</w:t>
      </w:r>
      <w:r>
        <w:rPr>
          <w:rFonts w:eastAsia="Calibri" w:eastAsiaTheme="minorHAnsi"/>
          <w:sz w:val="28"/>
          <w:szCs w:val="28"/>
        </w:rPr>
        <w:t xml:space="preserve"> и п</w:t>
      </w:r>
      <w:r>
        <w:rPr>
          <w:sz w:val="28"/>
          <w:szCs w:val="28"/>
        </w:rPr>
        <w:t>оследующего обеспечения</w:t>
      </w:r>
      <w:r>
        <w:rPr>
          <w:rFonts w:eastAsia="Calibri" w:eastAsiaTheme="minorHAnsi"/>
          <w:sz w:val="28"/>
          <w:szCs w:val="28"/>
        </w:rPr>
        <w:t xml:space="preserve"> возможности Р</w:t>
      </w:r>
      <w:r>
        <w:rPr>
          <w:sz w:val="28"/>
          <w:szCs w:val="28"/>
        </w:rPr>
        <w:t xml:space="preserve">А исполнять обязанности по организации осуществления платежей плательщиками и перечисления совершенных платежей посредством АИС ”Расчет“, а РА обязуется принять и  оплатить оказанные услуги в соответствии с порядком и сроками, установленными  </w:t>
      </w:r>
      <w:r>
        <w:rPr>
          <w:rFonts w:eastAsia="Calibri" w:eastAsiaTheme="minorHAnsi"/>
          <w:sz w:val="28"/>
          <w:szCs w:val="28"/>
        </w:rPr>
        <w:t>настоящим Договором, Общими условиями,  Регламентом, Сборником.</w:t>
      </w:r>
    </w:p>
    <w:p>
      <w:pPr>
        <w:pStyle w:val="Normal"/>
        <w:ind w:firstLine="709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УСЛОВИЯ ДОГОВОРА ПРИСОЕДИНЕНИЯ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 Настоящий Договор является договором присоединения.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709"/>
        <w:rPr/>
      </w:pPr>
      <w:r>
        <w:rPr>
          <w:sz w:val="28"/>
          <w:szCs w:val="28"/>
        </w:rPr>
        <w:t>2.2. РА в соответствии со статьей 398 Гражданского кодекса Республики Беларусь посредством</w:t>
      </w:r>
      <w:r>
        <w:rPr>
          <w:rFonts w:eastAsia="Calibri" w:eastAsiaTheme="minorHAnsi"/>
          <w:sz w:val="28"/>
          <w:szCs w:val="28"/>
        </w:rPr>
        <w:t xml:space="preserve"> заключения настоящего Договора полностью и безусловно присоединяется к Общим усл</w:t>
      </w:r>
      <w:r>
        <w:rPr>
          <w:sz w:val="28"/>
          <w:szCs w:val="28"/>
        </w:rPr>
        <w:t xml:space="preserve">овиям, Регламенту, требованиям документации АИС ”Расчет“, опубликованным в глобальной компьютерной сети Интернет на сайте </w:t>
      </w:r>
      <w:hyperlink r:id="rId2">
        <w:r>
          <w:rPr>
            <w:rStyle w:val="Style14"/>
            <w:sz w:val="28"/>
            <w:szCs w:val="28"/>
            <w:lang w:val="en-US"/>
          </w:rPr>
          <w:t>raschet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>.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2.3. Факт присоединения РА к Общим условиям и Регламенту является полным принятием им положений вышеуказанных документов.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709"/>
        <w:rPr/>
      </w:pPr>
      <w:r>
        <w:rPr>
          <w:sz w:val="28"/>
          <w:szCs w:val="28"/>
        </w:rPr>
        <w:t xml:space="preserve">2.4. РА, присоединившийся к Общим условиям и Регламенту, принимает дальнейшие изменения (дополнения), вносимые в Общие условия и Регламент, </w:t>
      </w:r>
      <w:r>
        <w:rPr>
          <w:rFonts w:eastAsia="Calibri" w:eastAsiaTheme="minorHAnsi"/>
          <w:sz w:val="28"/>
          <w:szCs w:val="28"/>
        </w:rPr>
        <w:t xml:space="preserve">в Порядке, предусмотренном Общими условиями и Регламентом. 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709"/>
        <w:jc w:val="center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РАЗМЕР ВОЗНАГРАЖДЕНИЙ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709"/>
        <w:rPr/>
      </w:pPr>
      <w:r>
        <w:rPr>
          <w:sz w:val="28"/>
          <w:szCs w:val="28"/>
        </w:rPr>
        <w:t xml:space="preserve">Размер вознаграждений за услуги, оказанные посредством АИС ”Расчет“ определяется </w:t>
      </w:r>
      <w:r>
        <w:rPr>
          <w:rFonts w:eastAsia="Calibri" w:eastAsiaTheme="minorHAnsi"/>
          <w:sz w:val="28"/>
          <w:szCs w:val="28"/>
        </w:rPr>
        <w:t>Сборником.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1"/>
        <w:jc w:val="center"/>
        <w:rPr>
          <w:sz w:val="28"/>
        </w:rPr>
      </w:pPr>
      <w:r>
        <w:rPr>
          <w:sz w:val="28"/>
        </w:rPr>
        <w:t>4. РАЗРЕШЕНИЕ СПОРОВ</w:t>
      </w:r>
    </w:p>
    <w:p>
      <w:pPr>
        <w:pStyle w:val="NormalWeb"/>
        <w:shd w:val="clear" w:fill="FFFFFF"/>
        <w:spacing w:beforeAutospacing="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 Все споры и разногласия, возникшие между Сторонами по исполнению настоящего Договора или в связи с ним, разрешаются путем проведения переговоров (с оформлением протокола переговоров), а в случае недостижения результата  по итогам переговоров – в претензионном порядке. В случае разрешения споров и разногласий в претензионном порядке, получившая претензию Сторона обязана направить письменный ответ другой Стороне в 30-дневный срок со дня ее получения.</w:t>
      </w:r>
    </w:p>
    <w:p>
      <w:pPr>
        <w:pStyle w:val="NormalWeb"/>
        <w:shd w:val="clear" w:fill="FFFFFF"/>
        <w:spacing w:beforeAutospacing="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4.2. Споры, не урегулированные в претензионном порядке, передаются на рассмотрение в Экономический суд г. Минска в соответствии с законодательством Республики Беларусь.</w:t>
      </w:r>
    </w:p>
    <w:p>
      <w:pPr>
        <w:pStyle w:val="NormalWeb"/>
        <w:shd w:val="clear" w:fill="FFFFFF"/>
        <w:spacing w:beforeAutospacing="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fill="FFFFFF"/>
        <w:spacing w:beforeAutospacing="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СРОК ДЕЙСТВИЯ ДОГОВОРА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680"/>
        <w:rPr/>
      </w:pPr>
      <w:r>
        <w:rPr>
          <w:sz w:val="28"/>
          <w:szCs w:val="28"/>
        </w:rPr>
        <w:t xml:space="preserve">Срок действия Договора определяется Общими условиями.   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68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ind w:firstLine="68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 ИНЫЕ УСЛОВИЯ</w:t>
      </w:r>
    </w:p>
    <w:p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6.1. 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6.2. Во всем остальном, что не предусмотрено Общими условиями и настоящим Договором, Стороны руководствуются законодательством Республики Беларусь.</w:t>
      </w:r>
    </w:p>
    <w:p>
      <w:pPr>
        <w:pStyle w:val="Style22"/>
        <w:numPr>
          <w:ilvl w:val="0"/>
          <w:numId w:val="0"/>
        </w:numPr>
        <w:tabs>
          <w:tab w:val="left" w:pos="1134" w:leader="none"/>
          <w:tab w:val="left" w:pos="1247" w:leader="none"/>
        </w:tabs>
        <w:spacing w:before="120" w:after="120"/>
        <w:jc w:val="center"/>
        <w:rPr/>
      </w:pPr>
      <w:r>
        <w:rPr>
          <w:rFonts w:eastAsia="Calibri" w:eastAsiaTheme="minorHAnsi"/>
          <w:sz w:val="28"/>
          <w:szCs w:val="28"/>
        </w:rPr>
        <w:t>МЕСТО НАХОЖДЕНИЯ (АДРЕС), БАНКО</w:t>
      </w:r>
      <w:r>
        <w:rPr>
          <w:sz w:val="28"/>
          <w:szCs w:val="28"/>
        </w:rPr>
        <w:t>ВСКИЕ РЕКВИЗИТЫ И ПОДПИСИ СТОРОН</w:t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4786"/>
        <w:gridCol w:w="4784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80" w:before="0" w:after="0"/>
              <w:ind w:right="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</w:t>
            </w:r>
          </w:p>
          <w:p>
            <w:pPr>
              <w:pStyle w:val="Normal"/>
              <w:spacing w:lineRule="exact" w:line="280" w:before="0" w:after="0"/>
              <w:rPr/>
            </w:pPr>
            <w:r>
              <w:rPr>
                <w:sz w:val="24"/>
                <w:szCs w:val="24"/>
              </w:rPr>
              <w:t>Открытое акционерное общество ”Небанковская кредитно-финансовая организация ”Единое расчетное и информационное пространство“</w:t>
            </w:r>
          </w:p>
          <w:p>
            <w:pPr>
              <w:pStyle w:val="Normal"/>
              <w:spacing w:lineRule="exact" w:line="2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220007, г. Минск, ул.Толстого, 6, 3 этаж к.303 </w:t>
            </w:r>
          </w:p>
          <w:p>
            <w:pPr>
              <w:pStyle w:val="Normal"/>
              <w:widowControl/>
              <w:bidi w:val="0"/>
              <w:spacing w:lineRule="exact" w:line="280" w:before="0" w:after="0"/>
              <w:jc w:val="left"/>
              <w:rPr>
                <w:rFonts w:ascii="Times New Roman" w:hAnsi="Times New Roman" w:eastAsia="Calibri" w:cs="Times New Roman" w:eastAsiaTheme="minorHAnsi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eastAsiaTheme="minorHAnsi"/>
                <w:color w:val="00000A"/>
                <w:sz w:val="24"/>
                <w:szCs w:val="24"/>
                <w:lang w:val="ru-RU" w:eastAsia="ru-RU" w:bidi="ar-SA"/>
              </w:rPr>
              <w:t>за организацию информационного обслуживания счет________</w:t>
            </w:r>
            <w:r>
              <w:rPr>
                <w:rFonts w:eastAsia="Calibri" w:cs="Times New Roman" w:eastAsiaTheme="minorHAnsi"/>
                <w:color w:val="00000A"/>
                <w:sz w:val="24"/>
                <w:szCs w:val="24"/>
                <w:lang w:val="en-US" w:eastAsia="ru-RU" w:bidi="ar-SA"/>
              </w:rPr>
              <w:t>__________</w:t>
            </w:r>
          </w:p>
          <w:p>
            <w:pPr>
              <w:pStyle w:val="Normal"/>
              <w:widowControl/>
              <w:bidi w:val="0"/>
              <w:spacing w:lineRule="exact" w:line="280" w:before="0" w:after="0"/>
              <w:jc w:val="left"/>
              <w:rPr>
                <w:rFonts w:ascii="Times New Roman" w:hAnsi="Times New Roman" w:eastAsia="Calibri" w:cs="Times New Roman" w:eastAsiaTheme="minorHAnsi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eastAsiaTheme="minorHAnsi"/>
                <w:color w:val="00000A"/>
                <w:sz w:val="24"/>
                <w:szCs w:val="24"/>
                <w:lang w:val="ru-RU" w:eastAsia="ru-RU" w:bidi="ar-SA"/>
              </w:rPr>
              <w:t xml:space="preserve">за организацию клирингового обслуживания счет__________________ </w:t>
            </w:r>
          </w:p>
          <w:p>
            <w:pPr>
              <w:pStyle w:val="Normal"/>
              <w:spacing w:lineRule="exact" w:line="280" w:before="0" w:after="0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в открытом акционерном обществе</w:t>
            </w:r>
            <w:r>
              <w:rPr>
                <w:sz w:val="24"/>
                <w:szCs w:val="24"/>
              </w:rPr>
              <w:t xml:space="preserve"> ”Небанковская кредитно-финансовая организация ”Единое расчетное и информационное пространство“</w:t>
            </w:r>
          </w:p>
          <w:p>
            <w:pPr>
              <w:pStyle w:val="Normal"/>
              <w:spacing w:lineRule="exact" w:line="2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153001345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УНП  807000268, </w:t>
            </w:r>
          </w:p>
          <w:p>
            <w:pPr>
              <w:pStyle w:val="Normal"/>
              <w:spacing w:lineRule="exact" w:line="280" w:before="0" w:after="0"/>
              <w:rPr>
                <w:sz w:val="24"/>
                <w:szCs w:val="24"/>
              </w:rPr>
            </w:pPr>
            <w:r>
              <w:rPr>
                <w:rStyle w:val="FontStyle28"/>
                <w:spacing w:val="-4"/>
                <w:sz w:val="24"/>
                <w:szCs w:val="24"/>
              </w:rPr>
              <w:t>ОКПО 382684845000</w:t>
            </w: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pStyle w:val="Normal"/>
              <w:spacing w:lineRule="exact" w:line="2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numPr>
                <w:ilvl w:val="0"/>
                <w:numId w:val="0"/>
              </w:numPr>
              <w:tabs>
                <w:tab w:val="left" w:pos="1134" w:leader="none"/>
                <w:tab w:val="left" w:pos="1247" w:leader="none"/>
              </w:tabs>
              <w:spacing w:lineRule="exact" w:line="280" w:before="0" w:after="0"/>
              <w:jc w:val="left"/>
              <w:rPr/>
            </w:pPr>
            <w:r>
              <w:rPr>
                <w:sz w:val="24"/>
                <w:szCs w:val="24"/>
              </w:rPr>
              <w:t>РАСЧЕТНЫЙ АГЕНТ</w:t>
            </w:r>
          </w:p>
        </w:tc>
      </w:tr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80" w:before="0" w:after="0"/>
              <w:ind w:right="1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Владельца</w:t>
            </w:r>
          </w:p>
          <w:p>
            <w:pPr>
              <w:pStyle w:val="Normal"/>
              <w:spacing w:lineRule="exact" w:line="280" w:before="0" w:after="0"/>
              <w:ind w:right="1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80" w:before="0" w:after="0"/>
              <w:ind w:right="1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80" w:before="0" w:after="0"/>
              <w:ind w:right="11" w:hanging="0"/>
              <w:rPr/>
            </w:pPr>
            <w:r>
              <w:rPr>
                <w:sz w:val="24"/>
                <w:szCs w:val="24"/>
              </w:rPr>
              <w:t>________________/________________/</w:t>
            </w:r>
          </w:p>
          <w:p>
            <w:pPr>
              <w:pStyle w:val="Normal"/>
              <w:spacing w:lineRule="exact" w:line="280" w:before="0" w:after="0"/>
              <w:ind w:right="11" w:hanging="0"/>
              <w:rPr>
                <w:sz w:val="24"/>
                <w:szCs w:val="24"/>
              </w:rPr>
            </w:pPr>
            <w:bookmarkStart w:id="1" w:name="__DdeLink__571_1777126165"/>
            <w:r>
              <w:rPr>
                <w:color w:val="000000"/>
                <w:sz w:val="24"/>
                <w:szCs w:val="24"/>
              </w:rPr>
              <w:t>”</w:t>
            </w:r>
            <w:bookmarkEnd w:id="1"/>
            <w:r>
              <w:rPr>
                <w:color w:val="000000"/>
                <w:sz w:val="24"/>
                <w:szCs w:val="24"/>
              </w:rPr>
              <w:t>____“__________201__ года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numPr>
                <w:ilvl w:val="0"/>
                <w:numId w:val="0"/>
              </w:numPr>
              <w:tabs>
                <w:tab w:val="left" w:pos="1134" w:leader="none"/>
                <w:tab w:val="left" w:pos="1247" w:leader="none"/>
              </w:tabs>
              <w:spacing w:lineRule="exact" w:line="280" w:before="0" w:after="0"/>
              <w:rPr/>
            </w:pPr>
            <w:r>
              <w:rPr>
                <w:sz w:val="24"/>
                <w:szCs w:val="24"/>
              </w:rPr>
              <w:t xml:space="preserve">От Расчетного агента </w:t>
            </w:r>
          </w:p>
          <w:p>
            <w:pPr>
              <w:pStyle w:val="Style22"/>
              <w:numPr>
                <w:ilvl w:val="0"/>
                <w:numId w:val="0"/>
              </w:numPr>
              <w:tabs>
                <w:tab w:val="left" w:pos="1134" w:leader="none"/>
                <w:tab w:val="left" w:pos="1247" w:leader="none"/>
              </w:tabs>
              <w:spacing w:lineRule="exact" w:line="2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numPr>
                <w:ilvl w:val="0"/>
                <w:numId w:val="0"/>
              </w:numPr>
              <w:tabs>
                <w:tab w:val="left" w:pos="1134" w:leader="none"/>
                <w:tab w:val="left" w:pos="1247" w:leader="none"/>
              </w:tabs>
              <w:spacing w:lineRule="exact" w:line="2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80" w:before="0" w:after="0"/>
              <w:ind w:right="11" w:hanging="0"/>
              <w:rPr/>
            </w:pPr>
            <w:r>
              <w:rPr>
                <w:sz w:val="24"/>
                <w:szCs w:val="24"/>
              </w:rPr>
              <w:t>________________/________________/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134" w:leader="none"/>
                <w:tab w:val="left" w:pos="1247" w:leader="none"/>
              </w:tabs>
              <w:spacing w:lineRule="exact" w:line="280" w:before="0" w:after="0"/>
              <w:ind w:right="11" w:hanging="0"/>
              <w:rPr/>
            </w:pPr>
            <w:r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>____“__________201__ года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408" w:charSpace="429494886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0214507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7e3dfb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00000A"/>
      <w:sz w:val="3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7e3dfb"/>
    <w:rPr>
      <w:color w:val="0000FF"/>
      <w:u w:val="single"/>
    </w:rPr>
  </w:style>
  <w:style w:type="character" w:styleId="FontStyle28" w:customStyle="1">
    <w:name w:val="Font Style28"/>
    <w:basedOn w:val="DefaultParagraphFont"/>
    <w:uiPriority w:val="99"/>
    <w:qFormat/>
    <w:rsid w:val="007e3dfb"/>
    <w:rPr>
      <w:rFonts w:ascii="Times New Roman" w:hAnsi="Times New Roman" w:cs="Times New Roman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7e3dfb"/>
    <w:rPr>
      <w:rFonts w:ascii="Times New Roman" w:hAnsi="Times New Roman" w:eastAsia="Calibri" w:cs="Times New Roman"/>
      <w:sz w:val="30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Название документа"/>
    <w:basedOn w:val="Normal"/>
    <w:autoRedefine/>
    <w:qFormat/>
    <w:rsid w:val="007e3dfb"/>
    <w:pPr>
      <w:ind w:firstLine="709"/>
    </w:pPr>
    <w:rPr/>
  </w:style>
  <w:style w:type="paragraph" w:styleId="Style22" w:customStyle="1">
    <w:name w:val="Пункт Положения"/>
    <w:basedOn w:val="Normal"/>
    <w:qFormat/>
    <w:rsid w:val="007e3dfb"/>
    <w:pPr>
      <w:tabs>
        <w:tab w:val="left" w:pos="1247" w:leader="none"/>
      </w:tabs>
    </w:pPr>
    <w:rPr/>
  </w:style>
  <w:style w:type="paragraph" w:styleId="BodyTextIndent21" w:customStyle="1">
    <w:name w:val="Body Text Indent 21"/>
    <w:basedOn w:val="Normal"/>
    <w:uiPriority w:val="99"/>
    <w:qFormat/>
    <w:rsid w:val="007e3dfb"/>
    <w:pPr>
      <w:spacing w:before="0" w:after="0"/>
      <w:ind w:left="-708" w:firstLine="708"/>
      <w:contextualSpacing/>
    </w:pPr>
    <w:rPr>
      <w:rFonts w:eastAsia="Times New Roman"/>
      <w:sz w:val="24"/>
      <w:szCs w:val="28"/>
    </w:rPr>
  </w:style>
  <w:style w:type="paragraph" w:styleId="Default" w:customStyle="1">
    <w:name w:val="Default"/>
    <w:qFormat/>
    <w:rsid w:val="007e3df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NormalWeb">
    <w:name w:val="Normal (Web)"/>
    <w:basedOn w:val="Normal"/>
    <w:semiHidden/>
    <w:qFormat/>
    <w:rsid w:val="007e3dfb"/>
    <w:pPr>
      <w:shd w:val="clear" w:color="auto" w:fill="FFFFFF"/>
      <w:spacing w:beforeAutospacing="1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Style23">
    <w:name w:val="Header"/>
    <w:basedOn w:val="Normal"/>
    <w:link w:val="a9"/>
    <w:uiPriority w:val="99"/>
    <w:unhideWhenUsed/>
    <w:rsid w:val="007e3dfb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7e3d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schet.by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LibreOffice/5.3.3.2$Windows_X86_64 LibreOffice_project/3d9a8b4b4e538a85e0782bd6c2d430bafe583448</Application>
  <Pages>3</Pages>
  <Words>569</Words>
  <Characters>4370</Characters>
  <CharactersWithSpaces>5074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2016-05-18T09:03:00Z</dcterms:created>
  <dc:creator>o.voroncova</dc:creator>
  <dc:description/>
  <dc:language>ru-RU</dc:language>
  <cp:lastModifiedBy/>
  <cp:lastPrinted>2016-05-18T15:17:04Z</cp:lastPrinted>
  <dcterms:modified xsi:type="dcterms:W3CDTF">2018-01-04T18:12:19Z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