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00" w:lineRule="exact"/>
        <w:rPr>
          <w:sz w:val="26"/>
          <w:szCs w:val="26"/>
        </w:rPr>
      </w:pPr>
    </w:p>
    <w:p>
      <w:pPr>
        <w:widowControl/>
        <w:tabs>
          <w:tab w:val="left" w:pos="4536"/>
        </w:tabs>
        <w:spacing w:line="360" w:lineRule="auto"/>
        <w:rPr>
          <w:sz w:val="26"/>
          <w:szCs w:val="26"/>
        </w:rPr>
      </w:pPr>
      <w:r>
        <w:rPr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400685</wp:posOffset>
                </wp:positionV>
                <wp:extent cx="2703195" cy="473710"/>
                <wp:effectExtent l="0" t="0" r="0" b="0"/>
                <wp:wrapTopAndBottom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7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widowControl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9.2pt;margin-top:31.55pt;height:37.3pt;width:212.85pt;mso-position-horizontal-relative:page;mso-wrap-distance-bottom:0pt;mso-wrap-distance-top:0pt;z-index:251659264;mso-width-relative:page;mso-height-relative:page;" fillcolor="#FFFFFF" filled="t" stroked="f" coordsize="21600,21600" o:gfxdata="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76hqdUAAAAKAQAADwAAAAAAAAABACAAAAAiAAAAZHJzL2Rvd25y&#10;ZXYueG1sUEsBAhQAFAAAAAgAh07iQKXOkaE6AgAAXgQAAA4AAAAAAAAAAQAgAAAAJAEAAGRycy9l&#10;Mm9Eb2MueG1sUEsFBgAAAAAGAAYAWQEAANA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60" w:lineRule="auto"/>
                      </w:pPr>
                      <w:r>
                        <w:rPr>
                          <w:sz w:val="26"/>
                          <w:szCs w:val="26"/>
                        </w:rPr>
                        <w:t xml:space="preserve">         </w:t>
                      </w:r>
                    </w:p>
                    <w:p>
                      <w:pPr>
                        <w:widowControl/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626110</wp:posOffset>
                </wp:positionV>
                <wp:extent cx="3205480" cy="1102360"/>
                <wp:effectExtent l="0" t="0" r="0" b="0"/>
                <wp:wrapTopAndBottom/>
                <wp:docPr id="4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102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280" w:lineRule="exac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ОАО ”Небанковская кредитно-финансовая организация ”ЕРИП“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widowControl/>
                              <w:rPr>
                                <w:rFonts w:hint="default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ул. 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Ленина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д. </w:t>
                            </w:r>
                            <w:r>
                              <w:rPr>
                                <w:rFonts w:hint="default"/>
                                <w:sz w:val="26"/>
                                <w:szCs w:val="26"/>
                                <w:lang w:val="ru-RU"/>
                              </w:rPr>
                              <w:t>22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к. </w:t>
                            </w:r>
                            <w:r>
                              <w:rPr>
                                <w:rFonts w:hint="default"/>
                                <w:sz w:val="26"/>
                                <w:szCs w:val="26"/>
                                <w:lang w:val="ru-RU"/>
                              </w:rPr>
                              <w:t>119</w:t>
                            </w:r>
                          </w:p>
                          <w:p>
                            <w:pPr>
                              <w:widowControl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hint="default"/>
                                <w:sz w:val="26"/>
                                <w:szCs w:val="26"/>
                                <w:lang w:val="ru-RU"/>
                              </w:rPr>
                              <w:t>10015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Витебск</w:t>
                            </w:r>
                          </w:p>
                          <w:p>
                            <w:pPr>
                              <w:widowControl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313.05pt;margin-top:49.3pt;height:86.8pt;width:252.4pt;mso-position-horizontal-relative:page;mso-wrap-distance-bottom:0pt;mso-wrap-distance-top:0pt;z-index:251660288;mso-width-relative:page;mso-height-relative:page;" fillcolor="#FFFFFF" filled="t" stroked="f" coordsize="21600,21600" o:gfxdata="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3wMhctgAAAALAQAADwAAAAAAAAABACAAAAAiAAAAZHJzL2Rv&#10;d25yZXYueG1sUEsBAhQAFAAAAAgAh07iQMxXqsQ6AgAAXwQAAA4AAAAAAAAAAQAgAAAAJwEAAGRy&#10;cy9lMm9Eb2MueG1sUEsFBgAAAAAGAAYAWQEAANM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80" w:lineRule="exact"/>
                      </w:pPr>
                      <w:r>
                        <w:rPr>
                          <w:sz w:val="26"/>
                          <w:szCs w:val="26"/>
                        </w:rPr>
                        <w:t>ОАО ”Небанковская кредитно-финансовая организация ”ЕРИП“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widowControl/>
                        <w:rPr>
                          <w:rFonts w:hint="default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ул. 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Ленина</w:t>
                      </w:r>
                      <w:r>
                        <w:rPr>
                          <w:sz w:val="26"/>
                          <w:szCs w:val="26"/>
                        </w:rPr>
                        <w:t xml:space="preserve">, д. </w:t>
                      </w:r>
                      <w:r>
                        <w:rPr>
                          <w:rFonts w:hint="default"/>
                          <w:sz w:val="26"/>
                          <w:szCs w:val="26"/>
                          <w:lang w:val="ru-RU"/>
                        </w:rPr>
                        <w:t>22</w:t>
                      </w:r>
                      <w:r>
                        <w:rPr>
                          <w:sz w:val="26"/>
                          <w:szCs w:val="26"/>
                        </w:rPr>
                        <w:t xml:space="preserve">, к. </w:t>
                      </w:r>
                      <w:r>
                        <w:rPr>
                          <w:rFonts w:hint="default"/>
                          <w:sz w:val="26"/>
                          <w:szCs w:val="26"/>
                          <w:lang w:val="ru-RU"/>
                        </w:rPr>
                        <w:t>119</w:t>
                      </w:r>
                    </w:p>
                    <w:p>
                      <w:pPr>
                        <w:widowControl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hint="default"/>
                          <w:sz w:val="26"/>
                          <w:szCs w:val="26"/>
                          <w:lang w:val="ru-RU"/>
                        </w:rPr>
                        <w:t>10015</w:t>
                      </w:r>
                      <w:r>
                        <w:rPr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Витебск</w:t>
                      </w:r>
                    </w:p>
                    <w:p>
                      <w:pPr>
                        <w:widowControl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3"/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4678"/>
        <w:gridCol w:w="5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" w:type="dxa"/>
          </w:tcPr>
          <w:p>
            <w:pPr>
              <w:pStyle w:val="24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>
            <w:pPr>
              <w:widowControl/>
              <w:spacing w:line="280" w:lineRule="exact"/>
            </w:pPr>
            <w:r>
              <w:rPr>
                <w:sz w:val="26"/>
                <w:szCs w:val="26"/>
              </w:rPr>
              <w:t>О заключении договор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а присоединения </w:t>
            </w:r>
          </w:p>
        </w:tc>
        <w:tc>
          <w:tcPr>
            <w:tcW w:w="5069" w:type="dxa"/>
          </w:tcPr>
          <w:p>
            <w:pPr>
              <w:snapToGrid w:val="0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3"/>
            <w:tcBorders>
              <w:bottom w:val="dotted" w:color="000000" w:sz="4" w:space="0"/>
            </w:tcBorders>
          </w:tcPr>
          <w:p>
            <w:pPr>
              <w:widowControl/>
              <w:tabs>
                <w:tab w:val="left" w:pos="4536"/>
              </w:tabs>
              <w:snapToGri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>
            <w:pPr>
              <w:widowControl/>
              <w:tabs>
                <w:tab w:val="left" w:pos="453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3"/>
            <w:tcBorders>
              <w:top w:val="dotted" w:color="000000" w:sz="4" w:space="0"/>
            </w:tcBorders>
          </w:tcPr>
          <w:p>
            <w:pPr>
              <w:widowControl/>
              <w:tabs>
                <w:tab w:val="left" w:pos="4536"/>
              </w:tabs>
              <w:jc w:val="center"/>
            </w:pPr>
            <w:r>
              <w:rPr>
                <w:color w:val="595959"/>
                <w:sz w:val="14"/>
                <w:szCs w:val="14"/>
              </w:rPr>
              <w:t>Указать наименование организации (индивидуального предпринимателя), в соответствии со свидетельством о государственной регистрации.</w:t>
            </w:r>
          </w:p>
        </w:tc>
      </w:tr>
    </w:tbl>
    <w:p>
      <w:pPr>
        <w:widowControl/>
        <w:tabs>
          <w:tab w:val="left" w:pos="4536"/>
        </w:tabs>
        <w:jc w:val="both"/>
      </w:pPr>
      <w:r>
        <w:rPr>
          <w:sz w:val="26"/>
          <w:szCs w:val="26"/>
        </w:rPr>
        <w:t>(далее – Предприятие) просит Вас заключить договор присоединения к Общим условиям участия в АИС ”Расчет“ в качестве Производителя услуг. Наше предприятие занимается следующими видами деятельности: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bottom w:val="dotted" w:color="000000" w:sz="4" w:space="0"/>
            </w:tcBorders>
          </w:tcPr>
          <w:p>
            <w:pPr>
              <w:widowControl/>
              <w:tabs>
                <w:tab w:val="left" w:pos="284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dotted" w:color="000000" w:sz="4" w:space="0"/>
            </w:tcBorders>
          </w:tcPr>
          <w:p>
            <w:pPr>
              <w:widowControl/>
              <w:tabs>
                <w:tab w:val="left" w:pos="4536"/>
              </w:tabs>
              <w:jc w:val="center"/>
            </w:pPr>
            <w:r>
              <w:rPr>
                <w:color w:val="595959"/>
                <w:sz w:val="14"/>
                <w:szCs w:val="14"/>
              </w:rPr>
              <w:t>Указать виды деятельности предприятия, за которые в последующем будет осуществляться оплата посредством АИС ”Расчет“</w:t>
            </w:r>
          </w:p>
        </w:tc>
      </w:tr>
    </w:tbl>
    <w:p>
      <w:pPr>
        <w:pStyle w:val="7"/>
        <w:ind w:firstLine="390" w:firstLineChars="150"/>
        <w:rPr>
          <w:sz w:val="26"/>
          <w:szCs w:val="26"/>
        </w:rPr>
      </w:pPr>
      <w:r>
        <w:rPr>
          <w:sz w:val="26"/>
          <w:szCs w:val="26"/>
        </w:rPr>
        <w:t xml:space="preserve">Предприятие с Общими условиями участия Производителя услуг в АИС «Расчет», </w:t>
      </w:r>
      <w:r>
        <w:rPr>
          <w:bCs/>
          <w:sz w:val="26"/>
          <w:szCs w:val="26"/>
        </w:rPr>
        <w:t>Сборником вознаграждений за операции, осуществляемые ОАО «Небанковская кредитно-финансовая организация «ЕРИП» (и другими участниками ЕРИП)</w:t>
      </w:r>
      <w:r>
        <w:rPr>
          <w:sz w:val="26"/>
          <w:szCs w:val="26"/>
        </w:rPr>
        <w:t xml:space="preserve"> и иными документами в части условий подключения к ЕРИП, размещенными на сайте raschet.by, ознакомилось и подтверждает возможность работать самостоятельно, в рамках договора присоединения, в режиме</w:t>
      </w:r>
    </w:p>
    <w:p>
      <w:pPr>
        <w:pStyle w:val="7"/>
        <w:ind w:firstLine="390" w:firstLineChars="150"/>
        <w:rPr>
          <w:sz w:val="26"/>
          <w:szCs w:val="26"/>
        </w:rPr>
      </w:pPr>
    </w:p>
    <w:p>
      <w:pPr>
        <w:pStyle w:val="7"/>
        <w:tabs>
          <w:tab w:val="clear" w:pos="4536"/>
        </w:tabs>
        <w:ind w:firstLine="260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67945</wp:posOffset>
                </wp:positionV>
                <wp:extent cx="103505" cy="97790"/>
                <wp:effectExtent l="4445" t="4445" r="6350" b="12065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o:spt="1" style="position:absolute;left:0pt;margin-left:0.25pt;margin-top:5.35pt;height:7.7pt;width:8.15pt;z-index:251662336;mso-width-relative:page;mso-height-relative:page;" fillcolor="#FFFFFF" filled="t" stroked="t" coordsize="21600,21600" o:gfxdata="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dIfr3TAAAABQEAAA8AAAAA&#10;AAAAAQAgAAAAIgAAAGRycy9kb3ducmV2LnhtbFBLAQIUABQAAAAIAIdO4kDTqP7QUgIAAI8EAAAO&#10;AAAAAAAAAAEAIAAAACI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>on-line посредством предоставляемого ОАО «НКФО «ЕРИП» программного обеспечения «Личный кабинет Производителя услуг».</w:t>
      </w:r>
    </w:p>
    <w:p>
      <w:pPr>
        <w:pStyle w:val="7"/>
        <w:tabs>
          <w:tab w:val="clear" w:pos="4536"/>
        </w:tabs>
        <w:ind w:firstLine="260"/>
        <w:rPr>
          <w:sz w:val="26"/>
          <w:szCs w:val="26"/>
        </w:rPr>
      </w:pPr>
      <w:r>
        <w:rPr>
          <w:color w:val="0000FF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62230</wp:posOffset>
                </wp:positionV>
                <wp:extent cx="103505" cy="97790"/>
                <wp:effectExtent l="4445" t="4445" r="6350" b="12065"/>
                <wp:wrapNone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o:spt="1" style="position:absolute;left:0pt;margin-left:0.3pt;margin-top:4.9pt;height:7.7pt;width:8.15pt;z-index:251661312;mso-width-relative:page;mso-height-relative:page;" fillcolor="#FFFFFF" filled="t" stroked="t" coordsize="21600,21600" o:gfxdata="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Of65s9IAAAAEAQAADwAAAAAA&#10;AAABACAAAAAiAAAAZHJzL2Rvd25yZXYueG1sUEsBAhQAFAAAAAgAh07iQBq7BOBSAgAAjwQAAA4A&#10;AAAAAAAAAQAgAAAAIQ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off-line в соответствии с Протоколом обмена данными между производителем услуг и АИС «Расчет» в режиме off-line BY/112.КУИС.01610-02 90 02. </w:t>
      </w:r>
    </w:p>
    <w:p>
      <w:pPr>
        <w:pStyle w:val="7"/>
        <w:ind w:firstLine="260"/>
        <w:rPr>
          <w:color w:val="0000FF"/>
          <w:sz w:val="26"/>
          <w:szCs w:val="26"/>
        </w:rPr>
      </w:pPr>
    </w:p>
    <w:p>
      <w:pPr>
        <w:pStyle w:val="7"/>
        <w:ind w:firstLine="0"/>
      </w:pPr>
      <w:r>
        <w:rPr>
          <w:sz w:val="26"/>
          <w:szCs w:val="26"/>
        </w:rPr>
        <w:t xml:space="preserve">Приложение: 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Договор в 2-х экземплярах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Регламент в 2-х экземплярах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Анкета производителя услуг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Копия свидетельства о государственной регистрации</w:t>
      </w:r>
    </w:p>
    <w:p>
      <w:pPr>
        <w:pStyle w:val="7"/>
        <w:rPr>
          <w:sz w:val="26"/>
          <w:szCs w:val="26"/>
        </w:rPr>
      </w:pPr>
    </w:p>
    <w:p>
      <w:pPr>
        <w:pStyle w:val="7"/>
        <w:rPr>
          <w:sz w:val="26"/>
          <w:szCs w:val="26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992"/>
        <w:gridCol w:w="2410"/>
        <w:gridCol w:w="850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bottom w:val="dotted" w:color="000000" w:sz="4" w:space="0"/>
            </w:tcBorders>
          </w:tcPr>
          <w:p>
            <w:pPr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>
            <w:pPr>
              <w:widowControl/>
              <w:snapToGrid w:val="0"/>
              <w:spacing w:line="240" w:lineRule="exact"/>
              <w:rPr>
                <w:sz w:val="26"/>
                <w:szCs w:val="26"/>
                <w:u w:val="single"/>
              </w:rPr>
            </w:pPr>
          </w:p>
        </w:tc>
        <w:tc>
          <w:tcPr>
            <w:tcW w:w="2410" w:type="dxa"/>
            <w:tcBorders>
              <w:bottom w:val="dotted" w:color="000000" w:sz="4" w:space="0"/>
            </w:tcBorders>
          </w:tcPr>
          <w:p>
            <w:pPr>
              <w:widowControl/>
              <w:snapToGrid w:val="0"/>
              <w:spacing w:line="240" w:lineRule="exact"/>
              <w:rPr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>
            <w:pPr>
              <w:widowControl/>
              <w:snapToGrid w:val="0"/>
              <w:spacing w:line="280" w:lineRule="exact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bottom w:val="dotted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right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dotted" w:color="000000" w:sz="4" w:space="0"/>
            </w:tcBorders>
          </w:tcPr>
          <w:p>
            <w:r>
              <w:rPr>
                <w:color w:val="595959"/>
                <w:sz w:val="14"/>
                <w:szCs w:val="14"/>
              </w:rPr>
              <w:t>Должность руководителя</w:t>
            </w: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color w:val="595959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tted" w:color="000000" w:sz="4" w:space="0"/>
            </w:tcBorders>
          </w:tcPr>
          <w:p>
            <w:pPr>
              <w:jc w:val="center"/>
            </w:pPr>
            <w:r>
              <w:rPr>
                <w:color w:val="595959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850" w:type="dxa"/>
          </w:tcPr>
          <w:p>
            <w:pPr>
              <w:snapToGrid w:val="0"/>
              <w:jc w:val="right"/>
              <w:rPr>
                <w:color w:val="595959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tted" w:color="000000" w:sz="4" w:space="0"/>
            </w:tcBorders>
          </w:tcPr>
          <w:p>
            <w:pPr>
              <w:jc w:val="right"/>
            </w:pPr>
            <w:r>
              <w:rPr>
                <w:color w:val="595959"/>
                <w:sz w:val="14"/>
                <w:szCs w:val="14"/>
              </w:rPr>
              <w:t>И.О. Фамилия</w:t>
            </w:r>
          </w:p>
        </w:tc>
      </w:tr>
    </w:tbl>
    <w:p>
      <w:pPr>
        <w:widowControl/>
      </w:pPr>
    </w:p>
    <w:sectPr>
      <w:pgSz w:w="11906" w:h="16838"/>
      <w:pgMar w:top="1560" w:right="567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28"/>
    <w:rsid w:val="000448E9"/>
    <w:rsid w:val="001F7AF6"/>
    <w:rsid w:val="00285DE3"/>
    <w:rsid w:val="003B0701"/>
    <w:rsid w:val="003B7D29"/>
    <w:rsid w:val="00421DC5"/>
    <w:rsid w:val="004873DE"/>
    <w:rsid w:val="004F5B7E"/>
    <w:rsid w:val="007B429E"/>
    <w:rsid w:val="00824E6A"/>
    <w:rsid w:val="00843950"/>
    <w:rsid w:val="00876804"/>
    <w:rsid w:val="008F0028"/>
    <w:rsid w:val="009C38B7"/>
    <w:rsid w:val="00A373AF"/>
    <w:rsid w:val="00A413A1"/>
    <w:rsid w:val="00BA0A0C"/>
    <w:rsid w:val="00BE31B5"/>
    <w:rsid w:val="00CC3617"/>
    <w:rsid w:val="00D50E83"/>
    <w:rsid w:val="00D84E9B"/>
    <w:rsid w:val="00E42AC5"/>
    <w:rsid w:val="00EA7D69"/>
    <w:rsid w:val="00EB417E"/>
    <w:rsid w:val="00EB4AE1"/>
    <w:rsid w:val="09E338E2"/>
    <w:rsid w:val="50DA2FB2"/>
    <w:rsid w:val="7D3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eastAsia="Times New Roman" w:cs="Times New Roman"/>
      <w:sz w:val="30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ody Text"/>
    <w:basedOn w:val="1"/>
    <w:uiPriority w:val="0"/>
    <w:pPr>
      <w:spacing w:after="140" w:line="276" w:lineRule="auto"/>
    </w:pPr>
  </w:style>
  <w:style w:type="paragraph" w:styleId="7">
    <w:name w:val="Body Text Indent"/>
    <w:basedOn w:val="1"/>
    <w:uiPriority w:val="0"/>
    <w:pPr>
      <w:widowControl/>
      <w:tabs>
        <w:tab w:val="left" w:pos="4536"/>
      </w:tabs>
      <w:ind w:firstLine="709"/>
      <w:jc w:val="both"/>
    </w:pPr>
    <w:rPr>
      <w:sz w:val="28"/>
    </w:rPr>
  </w:style>
  <w:style w:type="paragraph" w:styleId="8">
    <w:name w:val="List"/>
    <w:basedOn w:val="6"/>
    <w:uiPriority w:val="0"/>
    <w:rPr>
      <w:rFonts w:cs="Arial"/>
    </w:rPr>
  </w:style>
  <w:style w:type="character" w:customStyle="1" w:styleId="9">
    <w:name w:val="WW8Num1z0"/>
    <w:uiPriority w:val="0"/>
    <w:rPr>
      <w:rFonts w:hint="default" w:ascii="Symbol" w:hAnsi="Symbol" w:cs="Symbol"/>
    </w:rPr>
  </w:style>
  <w:style w:type="character" w:customStyle="1" w:styleId="10">
    <w:name w:val="WW8Num1z1"/>
    <w:uiPriority w:val="0"/>
    <w:rPr>
      <w:rFonts w:hint="default" w:ascii="Courier New" w:hAnsi="Courier New" w:cs="Courier New"/>
    </w:rPr>
  </w:style>
  <w:style w:type="character" w:customStyle="1" w:styleId="11">
    <w:name w:val="WW8Num1z2"/>
    <w:qFormat/>
    <w:uiPriority w:val="0"/>
    <w:rPr>
      <w:rFonts w:hint="default" w:ascii="Wingdings" w:hAnsi="Wingdings" w:cs="Wingdings"/>
    </w:rPr>
  </w:style>
  <w:style w:type="character" w:customStyle="1" w:styleId="12">
    <w:name w:val="WW8Num2z0"/>
    <w:uiPriority w:val="0"/>
    <w:rPr>
      <w:rFonts w:hint="default" w:ascii="Symbol" w:hAnsi="Symbol" w:cs="Symbol"/>
    </w:rPr>
  </w:style>
  <w:style w:type="character" w:customStyle="1" w:styleId="13">
    <w:name w:val="WW8Num2z1"/>
    <w:uiPriority w:val="0"/>
    <w:rPr>
      <w:rFonts w:hint="default" w:ascii="Courier New" w:hAnsi="Courier New" w:cs="Courier New"/>
    </w:rPr>
  </w:style>
  <w:style w:type="character" w:customStyle="1" w:styleId="14">
    <w:name w:val="WW8Num2z2"/>
    <w:uiPriority w:val="0"/>
    <w:rPr>
      <w:rFonts w:hint="default" w:ascii="Wingdings" w:hAnsi="Wingdings" w:cs="Wingdings"/>
    </w:rPr>
  </w:style>
  <w:style w:type="character" w:customStyle="1" w:styleId="15">
    <w:name w:val="Основной шрифт абзаца1"/>
    <w:uiPriority w:val="0"/>
  </w:style>
  <w:style w:type="character" w:customStyle="1" w:styleId="16">
    <w:name w:val="Знак примечания1"/>
    <w:uiPriority w:val="0"/>
    <w:rPr>
      <w:sz w:val="16"/>
      <w:szCs w:val="16"/>
    </w:rPr>
  </w:style>
  <w:style w:type="character" w:customStyle="1" w:styleId="17">
    <w:name w:val="Текст примечания Знак"/>
    <w:basedOn w:val="15"/>
    <w:uiPriority w:val="0"/>
  </w:style>
  <w:style w:type="character" w:customStyle="1" w:styleId="18">
    <w:name w:val="Текст выноски Знак"/>
    <w:uiPriority w:val="0"/>
    <w:rPr>
      <w:rFonts w:ascii="Tahoma" w:hAnsi="Tahoma" w:cs="Tahoma"/>
      <w:sz w:val="16"/>
      <w:szCs w:val="16"/>
    </w:rPr>
  </w:style>
  <w:style w:type="paragraph" w:customStyle="1" w:styleId="19">
    <w:name w:val="Заголовок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0">
    <w:name w:val="Указатель1"/>
    <w:basedOn w:val="1"/>
    <w:uiPriority w:val="0"/>
    <w:pPr>
      <w:suppressLineNumbers/>
    </w:pPr>
    <w:rPr>
      <w:rFonts w:cs="Arial"/>
    </w:rPr>
  </w:style>
  <w:style w:type="paragraph" w:customStyle="1" w:styleId="21">
    <w:name w:val="Текст примечания1"/>
    <w:basedOn w:val="1"/>
    <w:uiPriority w:val="0"/>
    <w:rPr>
      <w:sz w:val="20"/>
    </w:rPr>
  </w:style>
  <w:style w:type="paragraph" w:customStyle="1" w:styleId="22">
    <w:name w:val="Содержимое врезки"/>
    <w:basedOn w:val="1"/>
    <w:uiPriority w:val="0"/>
  </w:style>
  <w:style w:type="paragraph" w:customStyle="1" w:styleId="23">
    <w:name w:val="Содержимое таблицы"/>
    <w:basedOn w:val="1"/>
    <w:uiPriority w:val="0"/>
    <w:pPr>
      <w:suppressLineNumbers/>
    </w:pPr>
  </w:style>
  <w:style w:type="paragraph" w:customStyle="1" w:styleId="24">
    <w:name w:val="Заголовок таблицы"/>
    <w:basedOn w:val="23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1182</Characters>
  <Lines>9</Lines>
  <Paragraphs>2</Paragraphs>
  <TotalTime>10</TotalTime>
  <ScaleCrop>false</ScaleCrop>
  <LinksUpToDate>false</LinksUpToDate>
  <CharactersWithSpaces>1387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2021-03-04T13:55:00Z</dcterms:created>
  <dc:creator>GU NB</dc:creator>
  <cp:lastModifiedBy>s.potapenko</cp:lastModifiedBy>
  <cp:lastPrinted>2011-04-28T09:34:00Z</cp:lastPrinted>
  <dcterms:modified xsi:type="dcterms:W3CDTF">2021-03-09T10:56:26Z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