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0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97" w:hRule="atLeast"/>
          <w:tblHeader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619" w:type="dxa"/>
            </w:tcMar>
            <w:vAlign w:val="center"/>
          </w:tcPr>
          <w:p>
            <w:pPr>
              <w:widowControl/>
              <w:suppressAutoHyphens/>
              <w:ind w:left="510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ОАО «НКФО «ЕРИП»</w:t>
            </w:r>
          </w:p>
          <w:p>
            <w:pPr>
              <w:widowControl/>
              <w:suppressAutoHyphens/>
              <w:ind w:left="170" w:right="-62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ЗАЯВЛЕНИЕ-АНКЕТА НА ПОЛУЧЕНИЕ ДОСТУПА К</w:t>
            </w:r>
          </w:p>
          <w:p>
            <w:pPr>
              <w:widowControl/>
              <w:suppressAutoHyphens/>
              <w:ind w:left="170" w:right="-62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ТЕСТОВОМУ СТЕНДУ МЕЖБАНКОВСКОЙ СИСТЕМЫ ИДЕНТИФИКАЦИИ</w:t>
            </w:r>
          </w:p>
          <w:p>
            <w:pPr>
              <w:widowControl/>
              <w:suppressAutoHyphens/>
              <w:ind w:left="170" w:right="-62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 «___» __________________ 20__ г.</w:t>
            </w:r>
          </w:p>
          <w:p>
            <w:pPr>
              <w:widowControl/>
              <w:suppressAutoHyphens/>
              <w:ind w:left="170" w:right="-622" w:firstLine="68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Общими условиями оказания информационных услуг посредством межбанковской системы идентификации иным пользователям межбанковской системы идентификации просим предоставить доступ к тестовому стенду межбанковской системы идентификации (далее </w:t>
            </w:r>
            <w:r>
              <w:rPr>
                <w:rStyle w:val="10"/>
                <w:rFonts w:eastAsia="Times New Roman"/>
                <w:color w:val="000000"/>
                <w:u w:val="none"/>
              </w:rPr>
              <w:t>–</w:t>
            </w:r>
            <w:r>
              <w:rPr>
                <w:rFonts w:eastAsia="Times New Roman"/>
              </w:rPr>
              <w:t xml:space="preserve"> МСИ) на период ____________________________________</w:t>
            </w:r>
            <w:r>
              <w:rPr>
                <w:rFonts w:hint="default" w:eastAsia="Times New Roman"/>
                <w:lang w:val="ru-RU"/>
              </w:rPr>
              <w:t>__________________</w:t>
            </w:r>
            <w:r>
              <w:rPr>
                <w:rFonts w:eastAsia="Times New Roman"/>
              </w:rPr>
              <w:t>_____ для тестирования возможности взаимодействия</w:t>
            </w:r>
          </w:p>
          <w:p>
            <w:pPr>
              <w:widowControl/>
              <w:suppressAutoHyphens/>
              <w:ind w:left="170" w:right="-622" w:firstLine="680"/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(указывается в календарных месяцах или бессрочно)</w:t>
            </w:r>
          </w:p>
          <w:p>
            <w:pPr>
              <w:widowControl/>
              <w:suppressAutoHyphens/>
              <w:ind w:left="170" w:right="-62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информационной системы ____________________________________________________ с МСИ.</w:t>
            </w:r>
          </w:p>
          <w:p>
            <w:pPr>
              <w:widowControl/>
              <w:suppressAutoHyphens/>
              <w:ind w:left="2721" w:right="-622" w:firstLine="1300" w:firstLineChars="65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(наименование Организации)</w:t>
            </w:r>
          </w:p>
          <w:p>
            <w:pPr>
              <w:widowControl/>
              <w:suppressAutoHyphens/>
              <w:ind w:left="170" w:firstLine="68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об информационной системе (далее </w:t>
            </w:r>
            <w:r>
              <w:rPr>
                <w:rStyle w:val="10"/>
                <w:rFonts w:eastAsia="Times New Roman"/>
                <w:color w:val="000000"/>
                <w:u w:val="none"/>
              </w:rPr>
              <w:t>–</w:t>
            </w:r>
            <w:r>
              <w:rPr>
                <w:rFonts w:eastAsia="Times New Roman"/>
              </w:rPr>
              <w:t xml:space="preserve"> ИС) и услугах МСИ:</w:t>
            </w:r>
          </w:p>
          <w:tbl>
            <w:tblPr>
              <w:tblStyle w:val="6"/>
              <w:tblW w:w="9411" w:type="dxa"/>
              <w:tblInd w:w="170" w:type="dxa"/>
              <w:tblLayout w:type="autofit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2151"/>
              <w:gridCol w:w="726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cantSplit/>
                <w:tblHeader/>
              </w:trPr>
              <w:tc>
                <w:tcPr>
                  <w:tcW w:w="2151" w:type="dxa"/>
                  <w:tcBorders>
                    <w:top w:val="single" w:color="000001" w:sz="8" w:space="0"/>
                    <w:left w:val="single" w:color="000001" w:sz="8" w:space="0"/>
                    <w:bottom w:val="single" w:color="000001" w:sz="8" w:space="0"/>
                    <w:right w:val="single" w:color="000001" w:sz="8" w:space="0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0" w:type="dxa"/>
                  </w:tcMar>
                </w:tcPr>
                <w:p>
                  <w:pPr>
                    <w:widowControl/>
                    <w:suppressAutoHyphens/>
                    <w:spacing w:after="6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Наименование ИС </w:t>
                  </w:r>
                </w:p>
              </w:tc>
              <w:tc>
                <w:tcPr>
                  <w:tcW w:w="7260" w:type="dxa"/>
                  <w:tcBorders>
                    <w:top w:val="single" w:color="000001" w:sz="8" w:space="0"/>
                    <w:left w:val="single" w:color="000001" w:sz="8" w:space="0"/>
                    <w:bottom w:val="single" w:color="000001" w:sz="8" w:space="0"/>
                    <w:right w:val="single" w:color="000001" w:sz="8" w:space="0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413" w:type="dxa"/>
                  </w:tcMar>
                </w:tcPr>
                <w:p>
                  <w:pPr>
                    <w:widowControl/>
                    <w:suppressAutoHyphens/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  <w:t>Сокращенное наименование (аббревиатура).</w:t>
                  </w:r>
                </w:p>
                <w:p>
                  <w:pPr>
                    <w:widowControl/>
                    <w:suppressAutoHyphens/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  <w:t xml:space="preserve">Требования к сокращенному наименованию (аббревиатуре): </w:t>
                  </w:r>
                </w:p>
                <w:p>
                  <w:pPr>
                    <w:widowControl/>
                    <w:suppressAutoHyphens/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  <w:t xml:space="preserve">  •  должна позволять однозначно определить наименование ИС, в которой клиент будет выполнять операции;</w:t>
                  </w:r>
                </w:p>
                <w:p>
                  <w:pPr>
                    <w:widowControl/>
                    <w:suppressAutoHyphens/>
                    <w:ind w:right="393"/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  <w:t xml:space="preserve">  • печатные символы кодовой страницы CP-1251 длиной не более 25 символов;</w:t>
                  </w:r>
                </w:p>
                <w:p>
                  <w:pPr>
                    <w:widowControl/>
                    <w:suppressAutoHyphens/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  <w:t xml:space="preserve">  • минимальная длина для корректного отображения на устройствах с ограниченными возможностями отображения текста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cantSplit/>
                <w:trHeight w:val="364" w:hRule="atLeast"/>
                <w:tblHeader/>
              </w:trPr>
              <w:tc>
                <w:tcPr>
                  <w:tcW w:w="2151" w:type="dxa"/>
                  <w:tcBorders>
                    <w:top w:val="single" w:color="000001" w:sz="8" w:space="0"/>
                    <w:left w:val="single" w:color="000001" w:sz="8" w:space="0"/>
                    <w:bottom w:val="single" w:color="000001" w:sz="8" w:space="0"/>
                    <w:right w:val="single" w:color="000001" w:sz="8" w:space="0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0" w:type="dxa"/>
                  </w:tcMar>
                </w:tcPr>
                <w:p>
                  <w:pPr>
                    <w:widowControl/>
                    <w:suppressAutoHyphens/>
                    <w:spacing w:after="6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Ожидаемый URL для возврата результатов</w:t>
                  </w:r>
                </w:p>
              </w:tc>
              <w:tc>
                <w:tcPr>
                  <w:tcW w:w="7260" w:type="dxa"/>
                  <w:tcBorders>
                    <w:top w:val="single" w:color="000001" w:sz="8" w:space="0"/>
                    <w:left w:val="single" w:color="000001" w:sz="8" w:space="0"/>
                    <w:bottom w:val="single" w:color="000001" w:sz="8" w:space="0"/>
                    <w:right w:val="single" w:color="000001" w:sz="8" w:space="0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413" w:type="dxa"/>
                  </w:tcMar>
                </w:tcPr>
                <w:p>
                  <w:pPr>
                    <w:suppressAutoHyphens/>
                    <w:rPr>
                      <w:rFonts w:eastAsia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cantSplit/>
                <w:trHeight w:val="364" w:hRule="atLeast"/>
                <w:tblHeader/>
              </w:trPr>
              <w:tc>
                <w:tcPr>
                  <w:tcW w:w="2151" w:type="dxa"/>
                  <w:tcBorders>
                    <w:top w:val="single" w:color="000001" w:sz="8" w:space="0"/>
                    <w:left w:val="single" w:color="000001" w:sz="8" w:space="0"/>
                    <w:bottom w:val="single" w:color="000001" w:sz="8" w:space="0"/>
                    <w:right w:val="single" w:color="000001" w:sz="8" w:space="0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0" w:type="dxa"/>
                  </w:tcMar>
                </w:tcPr>
                <w:p>
                  <w:pPr>
                    <w:widowControl/>
                    <w:suppressAutoHyphens/>
                    <w:spacing w:after="6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Подтверждение прав на URL возврата</w:t>
                  </w:r>
                </w:p>
              </w:tc>
              <w:tc>
                <w:tcPr>
                  <w:tcW w:w="7260" w:type="dxa"/>
                  <w:tcBorders>
                    <w:top w:val="single" w:color="000001" w:sz="8" w:space="0"/>
                    <w:left w:val="single" w:color="000001" w:sz="8" w:space="0"/>
                    <w:bottom w:val="single" w:color="000001" w:sz="8" w:space="0"/>
                    <w:right w:val="single" w:color="000001" w:sz="8" w:space="0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413" w:type="dxa"/>
                  </w:tcMar>
                </w:tcPr>
                <w:p>
                  <w:pPr>
                    <w:suppressAutoHyphens/>
                    <w:rPr>
                      <w:rFonts w:eastAsia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cantSplit/>
                <w:trHeight w:val="364" w:hRule="atLeast"/>
                <w:tblHeader/>
              </w:trPr>
              <w:tc>
                <w:tcPr>
                  <w:tcW w:w="2151" w:type="dxa"/>
                  <w:tcBorders>
                    <w:top w:val="single" w:color="000001" w:sz="8" w:space="0"/>
                    <w:left w:val="single" w:color="000001" w:sz="8" w:space="0"/>
                    <w:bottom w:val="single" w:color="000001" w:sz="8" w:space="0"/>
                    <w:right w:val="single" w:color="000001" w:sz="8" w:space="0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0" w:type="dxa"/>
                  </w:tcMar>
                </w:tcPr>
                <w:p>
                  <w:pPr>
                    <w:widowControl/>
                    <w:suppressAutoHyphens/>
                    <w:spacing w:after="6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Цель взаимодействия ИС с МСИ</w:t>
                  </w:r>
                </w:p>
                <w:p>
                  <w:pPr>
                    <w:widowControl/>
                    <w:suppressAutoHyphens/>
                    <w:spacing w:after="60"/>
                    <w:rPr>
                      <w:rFonts w:eastAsia="Times New Roman"/>
                    </w:rPr>
                  </w:pPr>
                </w:p>
              </w:tc>
              <w:tc>
                <w:tcPr>
                  <w:tcW w:w="7260" w:type="dxa"/>
                  <w:tcBorders>
                    <w:top w:val="single" w:color="000001" w:sz="8" w:space="0"/>
                    <w:left w:val="single" w:color="000001" w:sz="8" w:space="0"/>
                    <w:bottom w:val="single" w:color="000001" w:sz="8" w:space="0"/>
                    <w:right w:val="single" w:color="000001" w:sz="8" w:space="0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413" w:type="dxa"/>
                  </w:tcMar>
                </w:tcPr>
                <w:p>
                  <w:pPr>
                    <w:rPr>
                      <w:rFonts w:eastAsia="Times New Roman"/>
                      <w:highlight w:val="none"/>
                      <w:lang w:val="ru-RU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hint="default" w:eastAsia="Times New Roman"/>
                      <w:sz w:val="44"/>
                      <w:szCs w:val="44"/>
                      <w:lang w:val="ru-RU"/>
                    </w:rPr>
                    <w:t xml:space="preserve"> </w:t>
                  </w:r>
                  <w:r>
                    <w:rPr>
                      <w:rFonts w:eastAsia="Times New Roman"/>
                      <w:highlight w:val="none"/>
                    </w:rPr>
                    <w:t>аутентификация (верификация) данных физических ли</w:t>
                  </w:r>
                  <w:r>
                    <w:rPr>
                      <w:rFonts w:eastAsia="Times New Roman"/>
                      <w:highlight w:val="none"/>
                      <w:lang w:val="ru-RU"/>
                    </w:rPr>
                    <w:t>ц</w:t>
                  </w:r>
                </w:p>
                <w:p>
                  <w:pPr>
                    <w:rPr>
                      <w:rFonts w:hint="default" w:eastAsia="Times New Roman"/>
                      <w:highlight w:val="none"/>
                      <w:lang w:val="ru-RU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hint="default" w:eastAsia="Times New Roman"/>
                      <w:sz w:val="44"/>
                      <w:szCs w:val="44"/>
                      <w:lang w:val="ru-RU"/>
                    </w:rPr>
                    <w:t xml:space="preserve"> </w:t>
                  </w:r>
                  <w:r>
                    <w:rPr>
                      <w:rFonts w:eastAsia="Times New Roman"/>
                      <w:highlight w:val="none"/>
                    </w:rPr>
                    <w:t>предварительный запрос о возможности аутентификации и параметрах учетной записи физического лица в МСИ</w:t>
                  </w:r>
                  <w:r>
                    <w:rPr>
                      <w:rFonts w:hint="default" w:eastAsia="Times New Roman"/>
                      <w:highlight w:val="none"/>
                      <w:lang w:val="ru-RU"/>
                    </w:rPr>
                    <w:t>*</w:t>
                  </w:r>
                </w:p>
                <w:p>
                  <w:pPr>
                    <w:spacing w:before="120" w:beforeLines="50"/>
                    <w:rPr>
                      <w:rFonts w:eastAsia="Times New Roman"/>
                      <w:highlight w:val="none"/>
                    </w:rPr>
                  </w:pPr>
                  <w:r>
                    <w:rPr>
                      <w:rFonts w:eastAsia="Times New Roman"/>
                      <w:color w:val="000000"/>
                      <w:highlight w:val="none"/>
                    </w:rPr>
                    <w:t>*</w:t>
                  </w:r>
                  <w:r>
                    <w:rPr>
                      <w:rFonts w:eastAsia="Times New Roman"/>
                      <w:i/>
                      <w:iCs/>
                      <w:highlight w:val="none"/>
                    </w:rPr>
                    <w:t>при выборе данной цели взаимодействия ИС с МСИ необходимо заполнить пункт «Вид предварительного запроса  о возможности аутентификации и параметрах учетной записи физического лица в МСИ»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cantSplit/>
                <w:trHeight w:val="364" w:hRule="atLeast"/>
                <w:tblHeader/>
              </w:trPr>
              <w:tc>
                <w:tcPr>
                  <w:tcW w:w="2151" w:type="dxa"/>
                  <w:tcBorders>
                    <w:top w:val="single" w:color="00000A" w:sz="8" w:space="0"/>
                    <w:left w:val="single" w:color="00000A" w:sz="8" w:space="0"/>
                    <w:bottom w:val="single" w:color="00000A" w:sz="8" w:space="0"/>
                    <w:right w:val="single" w:color="00000A" w:sz="8" w:space="0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>
                  <w:pPr>
                    <w:widowControl/>
                    <w:suppressAutoHyphens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Список используемых идентификаторов данных клиентов </w:t>
                  </w:r>
                </w:p>
              </w:tc>
              <w:tc>
                <w:tcPr>
                  <w:tcW w:w="7260" w:type="dxa"/>
                  <w:tcBorders>
                    <w:top w:val="single" w:color="00000A" w:sz="8" w:space="0"/>
                    <w:left w:val="single" w:color="00000A" w:sz="8" w:space="0"/>
                    <w:bottom w:val="single" w:color="00000A" w:sz="8" w:space="0"/>
                    <w:right w:val="single" w:color="00000A" w:sz="8" w:space="0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>
                  <w:pPr>
                    <w:widowControl/>
                    <w:suppressAutoHyphens/>
                    <w:rPr>
                      <w:rFonts w:eastAsia="Times New Roman"/>
                      <w:highlight w:val="none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hint="default" w:eastAsia="Times New Roman"/>
                      <w:sz w:val="44"/>
                      <w:szCs w:val="44"/>
                      <w:lang w:val="ru-RU"/>
                    </w:rPr>
                    <w:t xml:space="preserve"> </w:t>
                  </w:r>
                  <w:r>
                    <w:rPr>
                      <w:rFonts w:eastAsia="Times New Roman"/>
                      <w:highlight w:val="none"/>
                    </w:rPr>
                    <w:t xml:space="preserve">полный перечень данных </w:t>
                  </w:r>
                </w:p>
                <w:p>
                  <w:pPr>
                    <w:widowControl/>
                    <w:suppressAutoHyphens/>
                    <w:rPr>
                      <w:rFonts w:eastAsia="Times New Roman"/>
                      <w:highlight w:val="none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hint="default" w:eastAsia="Times New Roman"/>
                      <w:sz w:val="44"/>
                      <w:szCs w:val="44"/>
                      <w:lang w:val="ru-RU"/>
                    </w:rPr>
                    <w:t xml:space="preserve"> </w:t>
                  </w:r>
                  <w:r>
                    <w:rPr>
                      <w:rFonts w:eastAsia="Times New Roman"/>
                      <w:highlight w:val="none"/>
                    </w:rPr>
                    <w:t>набор данных*: ____________________</w:t>
                  </w:r>
                </w:p>
                <w:p>
                  <w:pPr>
                    <w:widowControl/>
                    <w:suppressAutoHyphens/>
                    <w:rPr>
                      <w:rFonts w:eastAsia="Times New Roman"/>
                      <w:highlight w:val="none"/>
                    </w:rPr>
                  </w:pPr>
                  <w:r>
                    <w:rPr>
                      <w:i/>
                      <w:iCs/>
                      <w:highlight w:val="none"/>
                    </w:rPr>
                    <w:t>*в соответствии с п. 3.2.2 Протоколов верификации данных с МСИ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cantSplit/>
                <w:trHeight w:val="1103" w:hRule="atLeast"/>
                <w:tblHeader/>
              </w:trPr>
              <w:tc>
                <w:tcPr>
                  <w:tcW w:w="2151" w:type="dxa"/>
                  <w:tcBorders>
                    <w:top w:val="single" w:color="000001" w:sz="8" w:space="0"/>
                    <w:left w:val="single" w:color="000001" w:sz="8" w:space="0"/>
                    <w:bottom w:val="single" w:color="000001" w:sz="8" w:space="0"/>
                    <w:right w:val="single" w:color="000001" w:sz="8" w:space="0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0" w:type="dxa"/>
                  </w:tcMar>
                </w:tcPr>
                <w:p>
                  <w:pPr>
                    <w:widowControl/>
                    <w:suppressAutoHyphens/>
                    <w:spacing w:after="60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Способы аутентификации клиентов</w:t>
                  </w:r>
                </w:p>
                <w:p>
                  <w:pPr>
                    <w:widowControl/>
                    <w:suppressAutoHyphens/>
                    <w:spacing w:after="60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7260" w:type="dxa"/>
                  <w:tcBorders>
                    <w:top w:val="single" w:color="000001" w:sz="8" w:space="0"/>
                    <w:left w:val="single" w:color="000001" w:sz="8" w:space="0"/>
                    <w:bottom w:val="single" w:color="000001" w:sz="8" w:space="0"/>
                    <w:right w:val="single" w:color="000001" w:sz="8" w:space="0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413" w:type="dxa"/>
                  </w:tcMar>
                </w:tcPr>
                <w:p>
                  <w:pPr>
                    <w:pStyle w:val="9"/>
                    <w:tabs>
                      <w:tab w:val="clear" w:pos="1247"/>
                    </w:tabs>
                    <w:ind w:left="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hint="default" w:eastAsia="Times New Roman"/>
                      <w:sz w:val="44"/>
                      <w:szCs w:val="44"/>
                      <w:lang w:val="ru-RU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</w:rPr>
                    <w:t>Статический пароль</w:t>
                  </w:r>
                </w:p>
                <w:p>
                  <w:pPr>
                    <w:pStyle w:val="9"/>
                    <w:tabs>
                      <w:tab w:val="clear" w:pos="1247"/>
                    </w:tabs>
                    <w:ind w:left="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hint="default" w:eastAsia="Times New Roman"/>
                      <w:sz w:val="44"/>
                      <w:szCs w:val="44"/>
                      <w:lang w:val="ru-RU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</w:rPr>
                    <w:t>Динамический пароль __________________________________________</w:t>
                  </w:r>
                </w:p>
                <w:p>
                  <w:pPr>
                    <w:pStyle w:val="9"/>
                    <w:tabs>
                      <w:tab w:val="clear" w:pos="1247"/>
                    </w:tabs>
                    <w:ind w:left="1814"/>
                    <w:rPr>
                      <w:rFonts w:eastAsia="Times New Roman"/>
                      <w:color w:val="000000"/>
                      <w:sz w:val="20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>(</w:t>
                  </w:r>
                  <w:r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  <w:t>номера мобильных телефонов для тестирования, не более 5 номеров)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cantSplit/>
                <w:tblHeader/>
              </w:trPr>
              <w:tc>
                <w:tcPr>
                  <w:tcW w:w="2151" w:type="dxa"/>
                  <w:tcBorders>
                    <w:top w:val="single" w:color="000001" w:sz="8" w:space="0"/>
                    <w:left w:val="single" w:color="000001" w:sz="8" w:space="0"/>
                    <w:bottom w:val="single" w:color="000001" w:sz="8" w:space="0"/>
                    <w:right w:val="single" w:color="000001" w:sz="8" w:space="0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0" w:type="dxa"/>
                  </w:tcMar>
                </w:tcPr>
                <w:p>
                  <w:pPr>
                    <w:widowControl/>
                    <w:suppressAutoHyphens/>
                    <w:spacing w:after="60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Вид предварительного запроса </w:t>
                  </w:r>
                  <w:r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о возможности аутентификации и параметрах учетной записи физического лица в МСИ</w:t>
                  </w:r>
                </w:p>
              </w:tc>
              <w:tc>
                <w:tcPr>
                  <w:tcW w:w="7260" w:type="dxa"/>
                  <w:tcBorders>
                    <w:top w:val="single" w:color="000001" w:sz="8" w:space="0"/>
                    <w:left w:val="single" w:color="000001" w:sz="8" w:space="0"/>
                    <w:bottom w:val="single" w:color="000001" w:sz="8" w:space="0"/>
                    <w:right w:val="single" w:color="000001" w:sz="8" w:space="0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413" w:type="dxa"/>
                  </w:tcMar>
                </w:tcPr>
                <w:p>
                  <w:pPr>
                    <w:spacing w:before="120" w:beforeLines="50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hint="default" w:eastAsia="Times New Roman"/>
                      <w:sz w:val="44"/>
                      <w:szCs w:val="44"/>
                      <w:lang w:val="ru-RU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возможность аутентификации физического лица в ИС определенным способом аутентификации МСИ (статический пароль, динамический пароль)</w:t>
                  </w:r>
                </w:p>
                <w:p>
                  <w:pPr>
                    <w:pStyle w:val="9"/>
                    <w:tabs>
                      <w:tab w:val="clear" w:pos="1247"/>
                    </w:tabs>
                    <w:rPr>
                      <w:sz w:val="20"/>
                      <w:lang w:eastAsia="ru-RU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hint="default" w:eastAsia="Times New Roman"/>
                      <w:sz w:val="44"/>
                      <w:szCs w:val="44"/>
                      <w:lang w:val="ru-RU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</w:rPr>
                    <w:t xml:space="preserve">проверка свойств учетной записи в МСИ: наличие, активация, статус валидации  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cantSplit/>
                <w:tblHeader/>
              </w:trPr>
              <w:tc>
                <w:tcPr>
                  <w:tcW w:w="2151" w:type="dxa"/>
                  <w:tcBorders>
                    <w:top w:val="single" w:color="000001" w:sz="8" w:space="0"/>
                    <w:left w:val="single" w:color="000001" w:sz="8" w:space="0"/>
                    <w:bottom w:val="single" w:color="000001" w:sz="8" w:space="0"/>
                    <w:right w:val="single" w:color="000001" w:sz="8" w:space="0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0" w:type="dxa"/>
                  </w:tcMar>
                </w:tcPr>
                <w:p>
                  <w:pPr>
                    <w:widowControl/>
                    <w:suppressAutoHyphens/>
                    <w:spacing w:after="6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Логотип ИС</w:t>
                  </w:r>
                </w:p>
              </w:tc>
              <w:tc>
                <w:tcPr>
                  <w:tcW w:w="7260" w:type="dxa"/>
                  <w:tcBorders>
                    <w:top w:val="single" w:color="000001" w:sz="8" w:space="0"/>
                    <w:left w:val="single" w:color="000001" w:sz="8" w:space="0"/>
                    <w:bottom w:val="single" w:color="000001" w:sz="8" w:space="0"/>
                    <w:right w:val="single" w:color="000001" w:sz="8" w:space="0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413" w:type="dxa"/>
                  </w:tcMar>
                </w:tcPr>
                <w:p>
                  <w:pPr>
                    <w:widowControl/>
                    <w:suppressAutoHyphens/>
                    <w:spacing w:after="0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  <w:p>
                  <w:pPr>
                    <w:widowControl/>
                    <w:suppressAutoHyphens/>
                    <w:spacing w:after="0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  <w:p>
                  <w:pPr>
                    <w:widowControl/>
                    <w:suppressAutoHyphens/>
                    <w:spacing w:after="0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  <w:p>
                  <w:pPr>
                    <w:widowControl/>
                    <w:suppressAutoHyphens/>
                    <w:spacing w:after="0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  <w:p>
                  <w:pPr>
                    <w:widowControl/>
                    <w:suppressAutoHyphens/>
                    <w:spacing w:after="0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  <w:p>
                  <w:pPr>
                    <w:widowControl/>
                    <w:suppressAutoHyphens/>
                    <w:spacing w:after="0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  <w:p>
                  <w:pPr>
                    <w:widowControl/>
                    <w:suppressAutoHyphens/>
                    <w:spacing w:after="0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  <w:p>
                  <w:pPr>
                    <w:widowControl/>
                    <w:suppressAutoHyphens/>
                    <w:spacing w:after="0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</w:p>
                <w:p>
                  <w:pPr>
                    <w:widowControl/>
                    <w:suppressAutoHyphens/>
                    <w:spacing w:after="0"/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  <w:t>Изображение формата PNG размером 200x200</w:t>
                  </w:r>
                  <w:r>
                    <w:rPr>
                      <w:rFonts w:hint="default" w:eastAsia="Times New Roman"/>
                      <w:i/>
                      <w:iCs/>
                      <w:sz w:val="18"/>
                      <w:szCs w:val="18"/>
                      <w:lang w:val="en-US"/>
                    </w:rPr>
                    <w:t>px</w:t>
                  </w:r>
                  <w: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  <w:t xml:space="preserve"> с прозрачным фоном</w:t>
                  </w:r>
                </w:p>
                <w:p>
                  <w:pPr>
                    <w:widowControl/>
                    <w:suppressAutoHyphens/>
                    <w:spacing w:after="0"/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  <w:t xml:space="preserve">Дополнительно необходимо направить логотип на </w:t>
                  </w:r>
                  <w:r>
                    <w:rPr>
                      <w:rFonts w:eastAsia="Times New Roman"/>
                      <w:i/>
                      <w:iCs/>
                      <w:sz w:val="18"/>
                      <w:szCs w:val="18"/>
                      <w:lang w:val="en-US"/>
                    </w:rPr>
                    <w:t>msi</w:t>
                  </w:r>
                  <w: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  <w:t>@</w:t>
                  </w:r>
                  <w:r>
                    <w:rPr>
                      <w:rFonts w:eastAsia="Times New Roman"/>
                      <w:i/>
                      <w:iCs/>
                      <w:sz w:val="18"/>
                      <w:szCs w:val="18"/>
                      <w:lang w:val="en-US"/>
                    </w:rPr>
                    <w:t>raschet</w:t>
                  </w:r>
                  <w:r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  <w:t>.</w:t>
                  </w:r>
                  <w:r>
                    <w:rPr>
                      <w:rFonts w:eastAsia="Times New Roman"/>
                      <w:i/>
                      <w:iCs/>
                      <w:sz w:val="18"/>
                      <w:szCs w:val="18"/>
                      <w:lang w:val="en-US"/>
                    </w:rPr>
                    <w:t>by</w:t>
                  </w:r>
                </w:p>
              </w:tc>
            </w:tr>
          </w:tbl>
          <w:p>
            <w:pPr>
              <w:widowControl/>
              <w:suppressAutoHyphens/>
              <w:rPr>
                <w:rFonts w:eastAsia="Times New Roman"/>
              </w:rPr>
            </w:pPr>
          </w:p>
        </w:tc>
      </w:tr>
    </w:tbl>
    <w:p>
      <w:pPr>
        <w:widowControl/>
        <w:suppressAutoHyphens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tbl>
      <w:tblPr>
        <w:tblStyle w:val="6"/>
        <w:tblW w:w="1020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20"/>
        <w:gridCol w:w="658"/>
        <w:gridCol w:w="809"/>
        <w:gridCol w:w="1047"/>
        <w:gridCol w:w="1578"/>
        <w:gridCol w:w="3205"/>
        <w:gridCol w:w="36"/>
        <w:gridCol w:w="5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0" w:hRule="atLeast"/>
          <w:tblHeader/>
        </w:trPr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uppressAutoHyphens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Уполномоченные работники:</w:t>
            </w:r>
          </w:p>
          <w:p>
            <w:pPr>
              <w:widowControl/>
              <w:suppressAutoHyphens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(обязательны для заполнения данные о не менее чем 2-х работниках)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583" w:type="dxa"/>
          <w:cantSplit/>
          <w:trHeight w:val="256" w:hRule="atLeast"/>
          <w:tblHeader/>
        </w:trPr>
        <w:tc>
          <w:tcPr>
            <w:tcW w:w="232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1467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Должность</w:t>
            </w:r>
          </w:p>
        </w:tc>
        <w:tc>
          <w:tcPr>
            <w:tcW w:w="2625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Рабочий /мобильный телефон</w:t>
            </w:r>
          </w:p>
        </w:tc>
        <w:tc>
          <w:tcPr>
            <w:tcW w:w="320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электронный почты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583" w:type="dxa"/>
          <w:cantSplit/>
          <w:trHeight w:val="195" w:hRule="atLeast"/>
          <w:tblHeader/>
        </w:trPr>
        <w:tc>
          <w:tcPr>
            <w:tcW w:w="232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uppressAutoHyphens/>
              <w:rPr>
                <w:rFonts w:eastAsia="Times New Roman"/>
              </w:rPr>
            </w:pPr>
          </w:p>
        </w:tc>
        <w:tc>
          <w:tcPr>
            <w:tcW w:w="1467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uppressAutoHyphens/>
              <w:rPr>
                <w:rFonts w:eastAsia="Times New Roman"/>
              </w:rPr>
            </w:pPr>
          </w:p>
        </w:tc>
        <w:tc>
          <w:tcPr>
            <w:tcW w:w="2625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uppressAutoHyphens/>
              <w:rPr>
                <w:rFonts w:eastAsia="Times New Roman"/>
              </w:rPr>
            </w:pPr>
          </w:p>
        </w:tc>
        <w:tc>
          <w:tcPr>
            <w:tcW w:w="320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uppressAutoHyphens/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583" w:type="dxa"/>
          <w:cantSplit/>
          <w:trHeight w:val="252" w:hRule="atLeast"/>
          <w:tblHeader/>
        </w:trPr>
        <w:tc>
          <w:tcPr>
            <w:tcW w:w="232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uppressAutoHyphens/>
              <w:rPr>
                <w:rFonts w:eastAsia="Times New Roman"/>
              </w:rPr>
            </w:pPr>
          </w:p>
        </w:tc>
        <w:tc>
          <w:tcPr>
            <w:tcW w:w="1467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uppressAutoHyphens/>
              <w:rPr>
                <w:rFonts w:eastAsia="Times New Roman"/>
              </w:rPr>
            </w:pPr>
          </w:p>
        </w:tc>
        <w:tc>
          <w:tcPr>
            <w:tcW w:w="2625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uppressAutoHyphens/>
              <w:rPr>
                <w:rFonts w:eastAsia="Times New Roman"/>
              </w:rPr>
            </w:pPr>
          </w:p>
        </w:tc>
        <w:tc>
          <w:tcPr>
            <w:tcW w:w="320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uppressAutoHyphens/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47" w:type="dxa"/>
          <w:cantSplit/>
          <w:trHeight w:val="540" w:hRule="atLeast"/>
          <w:tblHeader/>
        </w:trPr>
        <w:tc>
          <w:tcPr>
            <w:tcW w:w="965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uppressAutoHyphens/>
              <w:ind w:right="3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Настоящим подтверждаем, что ознакомлены, согласны и обязуемся оплачивать вознаграждение ОАО «НКФО «ЕРИП», установленное Сборником вознаграждений за операции, осуществляемые ОАО «НКФО «ЕРИП» (и другими участниками ЕРИП).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7" w:type="dxa"/>
          <w:cantSplit/>
          <w:trHeight w:val="256" w:hRule="atLeast"/>
        </w:trPr>
        <w:tc>
          <w:tcPr>
            <w:tcW w:w="9653" w:type="dxa"/>
            <w:gridSpan w:val="7"/>
            <w:shd w:val="clear" w:color="auto" w:fill="auto"/>
            <w:vAlign w:val="bottom"/>
          </w:tcPr>
          <w:p>
            <w:r>
              <w:rPr>
                <w:rFonts w:eastAsia="Times New Roman" w:cs="Times New Roman"/>
                <w:sz w:val="20"/>
                <w:szCs w:val="20"/>
              </w:rPr>
              <w:t>______________________</w:t>
            </w:r>
            <w:r>
              <w:rPr>
                <w:rFonts w:hint="default" w:eastAsia="Times New Roman" w:cs="Times New Roman"/>
                <w:sz w:val="20"/>
                <w:szCs w:val="20"/>
                <w:lang w:val="ru-RU"/>
              </w:rPr>
              <w:t>_______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hint="default" w:eastAsia="Times New Roman" w:cs="Times New Roman"/>
                <w:sz w:val="20"/>
                <w:szCs w:val="20"/>
                <w:lang w:val="ru-RU"/>
              </w:rPr>
              <w:t>__________________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hint="default" w:eastAsia="Times New Roman" w:cs="Times New Roman"/>
                <w:sz w:val="20"/>
                <w:szCs w:val="20"/>
                <w:lang w:val="ru-RU"/>
              </w:rPr>
              <w:t>____________________</w:t>
            </w:r>
            <w:r>
              <w:rPr>
                <w:rFonts w:eastAsia="Times New Roman" w:cs="Times New Roman"/>
                <w:sz w:val="20"/>
                <w:szCs w:val="20"/>
              </w:rPr>
              <w:t>_________</w:t>
            </w:r>
            <w:bookmarkStart w:id="0" w:name="_GoBack"/>
            <w:bookmarkEnd w:id="0"/>
            <w:r>
              <w:rPr>
                <w:rFonts w:eastAsia="Times New Roman" w:cs="Times New Roman"/>
                <w:sz w:val="20"/>
                <w:szCs w:val="20"/>
              </w:rPr>
              <w:t>__________________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7" w:type="dxa"/>
          <w:cantSplit/>
          <w:trHeight w:val="256" w:hRule="atLeast"/>
        </w:trPr>
        <w:tc>
          <w:tcPr>
            <w:tcW w:w="297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Times New Roman"/>
                <w:i/>
                <w:iCs/>
                <w:sz w:val="20"/>
                <w:szCs w:val="20"/>
                <w:lang w:val="ru-RU"/>
              </w:rPr>
              <w:t>(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Должность</w:t>
            </w:r>
            <w:r>
              <w:rPr>
                <w:rFonts w:hint="default" w:eastAsia="Times New Roman"/>
                <w:i/>
                <w:iCs/>
                <w:sz w:val="20"/>
                <w:szCs w:val="20"/>
                <w:lang w:val="ru-RU"/>
              </w:rPr>
              <w:t xml:space="preserve"> руководителя организации, либо уполномоченного лица)</w:t>
            </w:r>
          </w:p>
        </w:tc>
        <w:tc>
          <w:tcPr>
            <w:tcW w:w="1856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default" w:eastAsia="Times New Roman"/>
                <w:i/>
                <w:iCs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819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Times New Roman"/>
                <w:i/>
                <w:iCs/>
                <w:sz w:val="20"/>
                <w:szCs w:val="20"/>
                <w:lang w:val="ru-RU"/>
              </w:rPr>
              <w:t>(И.О.Фамилия)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7" w:type="dxa"/>
          <w:cantSplit/>
          <w:trHeight w:val="256" w:hRule="atLeast"/>
        </w:trPr>
        <w:tc>
          <w:tcPr>
            <w:tcW w:w="2978" w:type="dxa"/>
            <w:gridSpan w:val="2"/>
            <w:shd w:val="clear" w:color="auto" w:fill="auto"/>
            <w:vAlign w:val="bottom"/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75" w:type="dxa"/>
            <w:gridSpan w:val="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М.П.</w:t>
            </w:r>
          </w:p>
        </w:tc>
      </w:tr>
    </w:tbl>
    <w:p/>
    <w:sectPr>
      <w:endnotePr>
        <w:numFmt w:val="decimal"/>
      </w:endnotePr>
      <w:type w:val="continuous"/>
      <w:pgSz w:w="11907" w:h="16839"/>
      <w:pgMar w:top="1134" w:right="1134" w:bottom="66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drawingGridHorizontalSpacing w:val="283"/>
  <w:drawingGridVerticalSpacing w:val="283"/>
  <w:doNotShadeFormData w:val="1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E85053"/>
    <w:rsid w:val="00337C38"/>
    <w:rsid w:val="00E85053"/>
    <w:rsid w:val="10370CB9"/>
    <w:rsid w:val="1F852534"/>
    <w:rsid w:val="2A4E2746"/>
    <w:rsid w:val="45B002FD"/>
    <w:rsid w:val="466C080F"/>
    <w:rsid w:val="66BA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SimSun" w:cs="Times New Roman"/>
      <w:kern w:val="1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3">
    <w:name w:val="heading 2"/>
    <w:basedOn w:val="2"/>
    <w:next w:val="1"/>
    <w:qFormat/>
    <w:uiPriority w:val="0"/>
    <w:pPr>
      <w:outlineLvl w:val="1"/>
    </w:pPr>
    <w:rPr>
      <w:sz w:val="32"/>
      <w:szCs w:val="32"/>
    </w:rPr>
  </w:style>
  <w:style w:type="paragraph" w:styleId="4">
    <w:name w:val="heading 3"/>
    <w:basedOn w:val="3"/>
    <w:next w:val="1"/>
    <w:qFormat/>
    <w:uiPriority w:val="0"/>
    <w:pPr>
      <w:outlineLvl w:val="2"/>
    </w:pPr>
    <w:rPr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semiHidden/>
    <w:unhideWhenUsed/>
    <w:qFormat/>
    <w:uiPriority w:val="99"/>
  </w:style>
  <w:style w:type="paragraph" w:customStyle="1" w:styleId="9">
    <w:name w:val="Пункт Положения"/>
    <w:basedOn w:val="1"/>
    <w:qFormat/>
    <w:uiPriority w:val="0"/>
    <w:pPr>
      <w:widowControl/>
      <w:tabs>
        <w:tab w:val="left" w:pos="1247"/>
      </w:tabs>
      <w:suppressAutoHyphens/>
      <w:jc w:val="both"/>
    </w:pPr>
    <w:rPr>
      <w:rFonts w:eastAsia="Calibri"/>
      <w:sz w:val="30"/>
    </w:rPr>
  </w:style>
  <w:style w:type="character" w:customStyle="1" w:styleId="10">
    <w:name w:val="Интернет-ссылка"/>
    <w:basedOn w:val="5"/>
    <w:qFormat/>
    <w:uiPriority w:val="0"/>
    <w:rPr>
      <w:color w:val="0000FF"/>
      <w:u w:val="single" w:color="FFFFFF"/>
    </w:rPr>
  </w:style>
  <w:style w:type="character" w:customStyle="1" w:styleId="11">
    <w:name w:val="Текст выноски Знак"/>
    <w:basedOn w:val="5"/>
    <w:link w:val="7"/>
    <w:semiHidden/>
    <w:qFormat/>
    <w:uiPriority w:val="99"/>
    <w:rPr>
      <w:rFonts w:ascii="Segoe UI" w:hAnsi="Segoe UI" w:cs="Segoe UI"/>
      <w:kern w:val="1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2628</Characters>
  <Lines>21</Lines>
  <Paragraphs>6</Paragraphs>
  <TotalTime>19</TotalTime>
  <ScaleCrop>false</ScaleCrop>
  <LinksUpToDate>false</LinksUpToDate>
  <CharactersWithSpaces>3083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2020-06-12T10:44:00Z</dcterms:created>
  <dc:creator>a.titova</dc:creator>
  <cp:lastModifiedBy>a.zhavoronkov</cp:lastModifiedBy>
  <dcterms:modified xsi:type="dcterms:W3CDTF">2024-01-16T13:41:28Z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1DD6AAAAAEE14DE7A65F47747E21971B</vt:lpwstr>
  </property>
</Properties>
</file>